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Response</w:t>
      </w:r>
      <w:r>
        <w:t xml:space="preserve"> </w:t>
      </w:r>
      <w:r>
        <w:t xml:space="preserve">to</w:t>
      </w:r>
      <w:r>
        <w:t xml:space="preserve"> </w:t>
      </w:r>
      <w:r>
        <w:t xml:space="preserve">reviewer</w:t>
      </w:r>
      <w:r>
        <w:t xml:space="preserve"> </w:t>
      </w:r>
      <w:r>
        <w:t xml:space="preserve">comments,</w:t>
      </w:r>
      <w:r>
        <w:t xml:space="preserve"> </w:t>
      </w:r>
      <w:r>
        <w:t xml:space="preserve">part</w:t>
      </w:r>
      <w:r>
        <w:t xml:space="preserve"> </w:t>
      </w:r>
      <w:r>
        <w:t xml:space="preserve">II</w:t>
      </w:r>
      <w:r>
        <w:t xml:space="preserve"> </w:t>
      </w:r>
      <w:r>
        <w:t xml:space="preserve">(The</w:t>
      </w:r>
      <w:r>
        <w:t xml:space="preserve"> </w:t>
      </w:r>
      <w:r>
        <w:t xml:space="preserve">five</w:t>
      </w:r>
      <w:r>
        <w:t xml:space="preserve"> </w:t>
      </w:r>
      <w:r>
        <w:t xml:space="preserve">pillars)</w:t>
      </w:r>
    </w:p>
    <w:p>
      <w:pPr>
        <w:pStyle w:val="Author"/>
      </w:pPr>
      <w:r>
        <w:t xml:space="preserve">Mark</w:t>
      </w:r>
      <w:r>
        <w:t xml:space="preserve"> </w:t>
      </w:r>
      <w:r>
        <w:t xml:space="preserve">Ziemann,</w:t>
      </w:r>
      <w:r>
        <w:t xml:space="preserve"> </w:t>
      </w:r>
      <w:r>
        <w:t xml:space="preserve">Pierre</w:t>
      </w:r>
      <w:r>
        <w:t xml:space="preserve"> </w:t>
      </w:r>
      <w:r>
        <w:t xml:space="preserve">Poulain,</w:t>
      </w:r>
      <w:r>
        <w:t xml:space="preserve"> </w:t>
      </w:r>
      <w:r>
        <w:t xml:space="preserve">Anusuiya</w:t>
      </w:r>
      <w:r>
        <w:t xml:space="preserve"> </w:t>
      </w:r>
      <w:r>
        <w:t xml:space="preserve">Bora</w:t>
      </w:r>
    </w:p>
    <w:p>
      <w:pPr>
        <w:pStyle w:val="Date"/>
      </w:pPr>
      <w:r>
        <w:t xml:space="preserve">2023-09-27</w:t>
      </w:r>
    </w:p>
    <w:p>
      <w:pPr>
        <w:pStyle w:val="FirstParagraph"/>
      </w:pPr>
      <w:r>
        <w:t xml:space="preserve">Dear Editor,</w:t>
      </w:r>
    </w:p>
    <w:p>
      <w:pPr>
        <w:pStyle w:val="BodyText"/>
      </w:pPr>
      <w:r>
        <w:t xml:space="preserve">Again, many thanks for your consideration of our manuscript.</w:t>
      </w:r>
      <w:r>
        <w:t xml:space="preserve"> </w:t>
      </w:r>
      <w:r>
        <w:t xml:space="preserve">Below is our point-by-point response to Reviewer 3’s remaining comments.</w:t>
      </w:r>
      <w:r>
        <w:t xml:space="preserve"> </w:t>
      </w:r>
      <w:r>
        <w:t xml:space="preserve">Please note that this rebuttal letter has its own bibliography and the numbering will differ to the</w:t>
      </w:r>
      <w:r>
        <w:t xml:space="preserve"> </w:t>
      </w:r>
      <w:r>
        <w:t xml:space="preserve">main text.</w:t>
      </w:r>
    </w:p>
    <w:bookmarkStart w:id="20" w:name="point-2"/>
    <w:p>
      <w:pPr>
        <w:pStyle w:val="Heading3"/>
      </w:pPr>
      <w:r>
        <w:t xml:space="preserve">Point 2</w:t>
      </w:r>
    </w:p>
    <w:p>
      <w:pPr>
        <w:pStyle w:val="BlockText"/>
      </w:pPr>
      <w:r>
        <w:t xml:space="preserve">In my view, the paper is not suitable for</w:t>
      </w:r>
      <w:r>
        <w:t xml:space="preserve"> </w:t>
      </w:r>
      <w:r>
        <w:t xml:space="preserve">“</w:t>
      </w:r>
      <w:r>
        <w:t xml:space="preserve">anyone who analyzes biological data.</w:t>
      </w:r>
      <w:r>
        <w:t xml:space="preserve">”</w:t>
      </w:r>
      <w:r>
        <w:t xml:space="preserve"> </w:t>
      </w:r>
      <w:r>
        <w:t xml:space="preserve">After all, the</w:t>
      </w:r>
      <w:r>
        <w:t xml:space="preserve"> </w:t>
      </w:r>
      <w:r>
        <w:t xml:space="preserve">journal is Briefings in Bioinformatics.</w:t>
      </w:r>
      <w:r>
        <w:t xml:space="preserve"> </w:t>
      </w:r>
      <w:r>
        <w:t xml:space="preserve">Much of the material is too technical for the stated audience.</w:t>
      </w:r>
      <w:r>
        <w:t xml:space="preserve"> </w:t>
      </w:r>
      <w:r>
        <w:t xml:space="preserve">The authors have provided</w:t>
      </w:r>
      <w:r>
        <w:t xml:space="preserve"> </w:t>
      </w:r>
      <w:r>
        <w:t xml:space="preserve">“</w:t>
      </w:r>
      <w:r>
        <w:t xml:space="preserve">Practical guides for implementing</w:t>
      </w:r>
      <w:r>
        <w:t xml:space="preserve"> </w:t>
      </w:r>
      <w:r>
        <w:t xml:space="preserve">‘</w:t>
      </w:r>
      <w:r>
        <w:t xml:space="preserve">Five Pillar</w:t>
      </w:r>
      <w:r>
        <w:t xml:space="preserve">’</w:t>
      </w:r>
      <w:r>
        <w:t xml:space="preserve"> </w:t>
      </w:r>
      <w:r>
        <w:t xml:space="preserve">principles.</w:t>
      </w:r>
      <w:r>
        <w:t xml:space="preserve">”</w:t>
      </w:r>
      <w:r>
        <w:t xml:space="preserve"> </w:t>
      </w:r>
      <w:r>
        <w:t xml:space="preserve">This may be helpful to some, but it is not realistic to assume that people will consume all of</w:t>
      </w:r>
      <w:r>
        <w:t xml:space="preserve"> </w:t>
      </w:r>
      <w:r>
        <w:t xml:space="preserve">those materials before reading the paper or that by doing so they will be able to understand all of</w:t>
      </w:r>
      <w:r>
        <w:t xml:space="preserve"> </w:t>
      </w:r>
      <w:r>
        <w:t xml:space="preserve">the technical details in the manuscript.</w:t>
      </w:r>
      <w:r>
        <w:t xml:space="preserve"> </w:t>
      </w:r>
      <w:r>
        <w:t xml:space="preserve">In my view, the intended audience should be clarified in the manuscript.</w:t>
      </w:r>
    </w:p>
    <w:p>
      <w:pPr>
        <w:pStyle w:val="FirstParagraph"/>
      </w:pPr>
      <w:r>
        <w:t xml:space="preserve">RESPONSE: Indeed much of the manuscript is oriented towards gold-standard practices and this could be</w:t>
      </w:r>
      <w:r>
        <w:t xml:space="preserve"> </w:t>
      </w:r>
      <w:r>
        <w:t xml:space="preserve">out of the immediate reach for many biological data analysts, but this is not a futile exercise.</w:t>
      </w:r>
      <w:r>
        <w:t xml:space="preserve"> </w:t>
      </w:r>
      <w:r>
        <w:t xml:space="preserve">Firstly, papers such as this one set out a road map of self-education which may take years to</w:t>
      </w:r>
      <w:r>
        <w:t xml:space="preserve"> </w:t>
      </w:r>
      <w:r>
        <w:t xml:space="preserve">accomplish.</w:t>
      </w:r>
      <w:r>
        <w:t xml:space="preserve"> </w:t>
      </w:r>
      <w:r>
        <w:t xml:space="preserve">Secondly, where self-education reaches its limits, they can seek workshops and other training to</w:t>
      </w:r>
      <w:r>
        <w:t xml:space="preserve"> </w:t>
      </w:r>
      <w:r>
        <w:t xml:space="preserve">strengthen these priority areas.</w:t>
      </w:r>
      <w:r>
        <w:t xml:space="preserve"> </w:t>
      </w:r>
      <w:r>
        <w:t xml:space="preserve">Therefore, we have altered the phrase in the abstract and body to recognize the journey of</w:t>
      </w:r>
      <w:r>
        <w:t xml:space="preserve"> </w:t>
      </w:r>
      <w:r>
        <w:t xml:space="preserve">bioinformaticians in training.</w:t>
      </w:r>
    </w:p>
    <w:p>
      <w:pPr>
        <w:pStyle w:val="BodyText"/>
      </w:pPr>
      <w:r>
        <w:t xml:space="preserve">ABSTRACT:</w:t>
      </w:r>
    </w:p>
    <w:p>
      <w:pPr>
        <w:pStyle w:val="BlockText"/>
      </w:pPr>
      <w:r>
        <w:t xml:space="preserve">This guide is designed for bioinformatics data analysts and bioinformaticians in training,</w:t>
      </w:r>
      <w:r>
        <w:t xml:space="preserve"> </w:t>
      </w:r>
      <w:r>
        <w:t xml:space="preserve">but should be relevant to other domains of study.</w:t>
      </w:r>
    </w:p>
    <w:p>
      <w:pPr>
        <w:pStyle w:val="FirstParagraph"/>
      </w:pPr>
      <w:r>
        <w:t xml:space="preserve">RECOMMENDATIONS:</w:t>
      </w:r>
    </w:p>
    <w:p>
      <w:pPr>
        <w:pStyle w:val="BlockText"/>
      </w:pPr>
      <w:r>
        <w:t xml:space="preserve">The intended audience is bioinformatics data analysts and bioinformaticians in training, however the</w:t>
      </w:r>
      <w:r>
        <w:t xml:space="preserve"> </w:t>
      </w:r>
      <w:r>
        <w:t xml:space="preserve">principles described here could equally apply to other domains of study.</w:t>
      </w:r>
    </w:p>
    <w:p>
      <w:pPr>
        <w:pStyle w:val="FirstParagraph"/>
      </w:pPr>
      <w:r>
        <w:t xml:space="preserve">If the reviewer has a specific suggestion, then it would be helpful to provide it.</w:t>
      </w:r>
    </w:p>
    <w:bookmarkEnd w:id="20"/>
    <w:bookmarkStart w:id="21" w:name="point-10"/>
    <w:p>
      <w:pPr>
        <w:pStyle w:val="Heading3"/>
      </w:pPr>
      <w:r>
        <w:t xml:space="preserve">Point 10</w:t>
      </w:r>
    </w:p>
    <w:p>
      <w:pPr>
        <w:numPr>
          <w:ilvl w:val="0"/>
          <w:numId w:val="1001"/>
        </w:numPr>
        <w:pStyle w:val="Compact"/>
      </w:pPr>
      <w:r>
        <w:t xml:space="preserve">What about when your data files are too large to fit on a personal computer? Please address in</w:t>
      </w:r>
      <w:r>
        <w:t xml:space="preserve"> </w:t>
      </w:r>
      <w:r>
        <w:t xml:space="preserve">the manuscript.</w:t>
      </w:r>
    </w:p>
    <w:p>
      <w:pPr>
        <w:pStyle w:val="FirstParagraph"/>
      </w:pPr>
      <w:r>
        <w:t xml:space="preserve">RESPONSE: In accordance with this suggestion we have added the following passage to the literate</w:t>
      </w:r>
      <w:r>
        <w:t xml:space="preserve"> </w:t>
      </w:r>
      <w:r>
        <w:t xml:space="preserve">programming section.</w:t>
      </w:r>
    </w:p>
    <w:p>
      <w:pPr>
        <w:pStyle w:val="BlockText"/>
      </w:pPr>
      <w:r>
        <w:t xml:space="preserve">While it is common to run literate programs on a PC with graphical interfaces such as RStudio,</w:t>
      </w:r>
      <w:r>
        <w:t xml:space="preserve"> </w:t>
      </w:r>
      <w:r>
        <w:t xml:space="preserve">they can also be executed in</w:t>
      </w:r>
      <w:r>
        <w:t xml:space="preserve"> </w:t>
      </w:r>
      <w:r>
        <w:t xml:space="preserve">“</w:t>
      </w:r>
      <w:r>
        <w:t xml:space="preserve">headless</w:t>
      </w:r>
      <w:r>
        <w:t xml:space="preserve">”</w:t>
      </w:r>
      <w:r>
        <w:t xml:space="preserve"> </w:t>
      </w:r>
      <w:r>
        <w:t xml:space="preserve">mode on high performance computing clusters or cloud</w:t>
      </w:r>
      <w:r>
        <w:t xml:space="preserve"> </w:t>
      </w:r>
      <w:r>
        <w:t xml:space="preserve">servers using command-line interfaces to take advantage of greater computational resources.</w:t>
      </w:r>
      <w:r>
        <w:t xml:space="preserve"> </w:t>
      </w:r>
      <w:r>
        <w:t xml:space="preserve">Headless mode is also important for integrating literate scripts into larger workflows and for</w:t>
      </w:r>
      <w:r>
        <w:t xml:space="preserve"> </w:t>
      </w:r>
      <w:r>
        <w:t xml:space="preserve">automated testing.</w:t>
      </w:r>
    </w:p>
    <w:bookmarkEnd w:id="21"/>
    <w:bookmarkStart w:id="22" w:name="point-17"/>
    <w:p>
      <w:pPr>
        <w:pStyle w:val="Heading3"/>
      </w:pPr>
      <w:r>
        <w:t xml:space="preserve">Point 17</w:t>
      </w:r>
    </w:p>
    <w:p>
      <w:pPr>
        <w:numPr>
          <w:ilvl w:val="0"/>
          <w:numId w:val="1002"/>
        </w:numPr>
        <w:pStyle w:val="Compact"/>
      </w:pPr>
      <w:r>
        <w:t xml:space="preserve">The Biocontainers project should be mentioned.</w:t>
      </w:r>
    </w:p>
    <w:p>
      <w:pPr>
        <w:pStyle w:val="FirstParagraph"/>
      </w:pPr>
      <w:r>
        <w:t xml:space="preserve">RESPONSE: We have added an additional mention of BioContainers which appears just after where DockerHub</w:t>
      </w:r>
      <w:r>
        <w:t xml:space="preserve"> </w:t>
      </w:r>
      <w:r>
        <w:t xml:space="preserve">is mentioned.</w:t>
      </w:r>
    </w:p>
    <w:p>
      <w:pPr>
        <w:pStyle w:val="BlockText"/>
      </w:pPr>
      <w:r>
        <w:t xml:space="preserve">In bioinformatics, containers are already extensively used.</w:t>
      </w:r>
      <w:r>
        <w:t xml:space="preserve"> </w:t>
      </w:r>
      <w:r>
        <w:t xml:space="preserve">For example, BioContainers is a registry for sharing bioinformatics software containers</w:t>
      </w:r>
      <w:r>
        <w:t xml:space="preserve"> </w:t>
      </w:r>
      <w:r>
        <w:t xml:space="preserve">[1]</w:t>
      </w:r>
      <w:r>
        <w:t xml:space="preserve">.</w:t>
      </w:r>
      <w:r>
        <w:t xml:space="preserve"> </w:t>
      </w:r>
      <w:r>
        <w:t xml:space="preserve">Containers are equally useful to data analysts by encapsulating the environment in which analytical</w:t>
      </w:r>
      <w:r>
        <w:t xml:space="preserve"> </w:t>
      </w:r>
      <w:r>
        <w:t xml:space="preserve">scripts are executed.</w:t>
      </w:r>
    </w:p>
    <w:bookmarkEnd w:id="22"/>
    <w:bookmarkStart w:id="23" w:name="point-20"/>
    <w:p>
      <w:pPr>
        <w:pStyle w:val="Heading3"/>
      </w:pPr>
      <w:r>
        <w:t xml:space="preserve">Point 20</w:t>
      </w:r>
    </w:p>
    <w:p>
      <w:pPr>
        <w:numPr>
          <w:ilvl w:val="0"/>
          <w:numId w:val="1003"/>
        </w:numPr>
        <w:pStyle w:val="Compact"/>
      </w:pPr>
      <w:r>
        <w:t xml:space="preserve">Figure 5: I don’t think it’s really necessary to resummarize the FAIR principles.</w:t>
      </w:r>
      <w:r>
        <w:t xml:space="preserve"> </w:t>
      </w:r>
      <w:r>
        <w:t xml:space="preserve">People can go to the source article for that.</w:t>
      </w:r>
      <w:r>
        <w:t xml:space="preserve"> </w:t>
      </w:r>
      <w:r>
        <w:t xml:space="preserve">I don’t mean to be snarky, but everyone has limited time. I still believe that spelling out these</w:t>
      </w:r>
      <w:r>
        <w:t xml:space="preserve"> </w:t>
      </w:r>
      <w:r>
        <w:t xml:space="preserve">points only serves to make the manuscript longer than necessary and thus make it less likely for</w:t>
      </w:r>
      <w:r>
        <w:t xml:space="preserve"> </w:t>
      </w:r>
      <w:r>
        <w:t xml:space="preserve">people with</w:t>
      </w:r>
      <w:r>
        <w:t xml:space="preserve"> </w:t>
      </w:r>
      <w:r>
        <w:t xml:space="preserve">“</w:t>
      </w:r>
      <w:r>
        <w:t xml:space="preserve">limited time</w:t>
      </w:r>
      <w:r>
        <w:t xml:space="preserve">”</w:t>
      </w:r>
      <w:r>
        <w:t xml:space="preserve"> </w:t>
      </w:r>
      <w:r>
        <w:t xml:space="preserve">to read it.</w:t>
      </w:r>
      <w:r>
        <w:t xml:space="preserve"> </w:t>
      </w:r>
      <w:r>
        <w:t xml:space="preserve">FAIRness is not the main thrust of this manuscript.</w:t>
      </w:r>
    </w:p>
    <w:p>
      <w:pPr>
        <w:pStyle w:val="FirstParagraph"/>
      </w:pPr>
      <w:r>
        <w:t xml:space="preserve">RESPONSE: We appreciate the reviewer’s point of view.</w:t>
      </w:r>
      <w:r>
        <w:t xml:space="preserve"> </w:t>
      </w:r>
      <w:r>
        <w:t xml:space="preserve">We have reduced the discussion of FAIR principles to just one sentence.</w:t>
      </w:r>
    </w:p>
    <w:p>
      <w:pPr>
        <w:pStyle w:val="BlockText"/>
      </w:pPr>
      <w:r>
        <w:t xml:space="preserve">“</w:t>
      </w:r>
      <w:r>
        <w:t xml:space="preserve">In order to maximize the value of shared data for reuse and reproducibility, it needs to be Findable,</w:t>
      </w:r>
      <w:r>
        <w:t xml:space="preserve"> </w:t>
      </w:r>
      <w:r>
        <w:t xml:space="preserve">Accessible, Interoperable and Reusable (FAIR) for people and for computers</w:t>
      </w:r>
      <w:r>
        <w:t xml:space="preserve"> </w:t>
      </w:r>
      <w:r>
        <w:t xml:space="preserve">[2]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FAIR has also been removed from the pillars infographic and Figure 5 is also gone.</w:t>
      </w:r>
    </w:p>
    <w:bookmarkEnd w:id="23"/>
    <w:bookmarkStart w:id="24" w:name="point-21"/>
    <w:p>
      <w:pPr>
        <w:pStyle w:val="Heading3"/>
      </w:pPr>
      <w:r>
        <w:t xml:space="preserve">Point 21</w:t>
      </w:r>
    </w:p>
    <w:p>
      <w:pPr>
        <w:numPr>
          <w:ilvl w:val="0"/>
          <w:numId w:val="1004"/>
        </w:numPr>
        <w:pStyle w:val="Compact"/>
      </w:pPr>
      <w:r>
        <w:t xml:space="preserve">Page 11, line 13: I disagree that repositories like GEO and SRA are FAIR.</w:t>
      </w:r>
      <w:r>
        <w:t xml:space="preserve"> </w:t>
      </w:r>
      <w:r>
        <w:t xml:space="preserve">There are lots of problems with FAIRness in these repositories.</w:t>
      </w:r>
    </w:p>
    <w:p>
      <w:pPr>
        <w:pStyle w:val="FirstParagraph"/>
      </w:pPr>
      <w:r>
        <w:t xml:space="preserve">RESPONSE: Possibly the reviewer hasn’t seen that the rebuttal letter had it’s own bibliography.</w:t>
      </w:r>
      <w:r>
        <w:t xml:space="preserve"> </w:t>
      </w:r>
      <w:r>
        <w:t xml:space="preserve">Anyway, since</w:t>
      </w:r>
      <w:r>
        <w:t xml:space="preserve"> </w:t>
      </w:r>
      <w:r>
        <w:t xml:space="preserve">“</w:t>
      </w:r>
      <w:r>
        <w:t xml:space="preserve">FAIR</w:t>
      </w:r>
      <w:r>
        <w:t xml:space="preserve">”</w:t>
      </w:r>
      <w:r>
        <w:t xml:space="preserve"> </w:t>
      </w:r>
      <w:r>
        <w:t xml:space="preserve">is not described in depth anymore, it simplifies the description of these databases,</w:t>
      </w:r>
      <w:r>
        <w:t xml:space="preserve"> </w:t>
      </w:r>
      <w:r>
        <w:t xml:space="preserve">which satisfy most best practices. We cite the work of Bonaretti et al 2019.</w:t>
      </w:r>
      <w:r>
        <w:t xml:space="preserve"> </w:t>
      </w:r>
      <w:r>
        <w:t xml:space="preserve">We also cite Hassenruck et al 2021, who report deficiencies in these databases, but spread the blame</w:t>
      </w:r>
      <w:r>
        <w:t xml:space="preserve"> </w:t>
      </w:r>
      <w:r>
        <w:t xml:space="preserve">between database administrators, researchers and other stakeholders.</w:t>
      </w:r>
      <w:r>
        <w:t xml:space="preserve"> </w:t>
      </w:r>
      <w:r>
        <w:t xml:space="preserve">The two important passages we have amended are provided below:</w:t>
      </w:r>
    </w:p>
    <w:p>
      <w:pPr>
        <w:pStyle w:val="BlockText"/>
      </w:pPr>
      <w:r>
        <w:t xml:space="preserve">In the wake of the Human Genome Project, a number of repositories for specific biological data types</w:t>
      </w:r>
      <w:r>
        <w:t xml:space="preserve"> </w:t>
      </w:r>
      <w:r>
        <w:t xml:space="preserve">were established including GEO, SRA, ENA and PRIDE</w:t>
      </w:r>
      <w:r>
        <w:t xml:space="preserve"> </w:t>
      </w:r>
      <w:r>
        <w:t xml:space="preserve">[3–5]</w:t>
      </w:r>
      <w:r>
        <w:t xml:space="preserve">.</w:t>
      </w:r>
      <w:r>
        <w:t xml:space="preserve"> </w:t>
      </w:r>
      <w:r>
        <w:t xml:space="preserve">Although these repositories suffer issues around interoperability and reusability, they do support</w:t>
      </w:r>
      <w:r>
        <w:t xml:space="preserve"> </w:t>
      </w:r>
      <w:r>
        <w:t xml:space="preserve">data reuse through findability and accessibility</w:t>
      </w:r>
      <w:r>
        <w:t xml:space="preserve"> </w:t>
      </w:r>
      <w:r>
        <w:t xml:space="preserve">[6,7]</w:t>
      </w:r>
      <w:r>
        <w:t xml:space="preserve">.</w:t>
      </w:r>
    </w:p>
    <w:p>
      <w:pPr>
        <w:pStyle w:val="FirstParagraph"/>
      </w:pPr>
      <w:r>
        <w:t xml:space="preserve">…</w:t>
      </w:r>
    </w:p>
    <w:p>
      <w:pPr>
        <w:pStyle w:val="BlockText"/>
      </w:pPr>
      <w:r>
        <w:t xml:space="preserve">Researchers should be aware, however, that these repositories are often not moderated,</w:t>
      </w:r>
      <w:r>
        <w:t xml:space="preserve"> </w:t>
      </w:r>
      <w:r>
        <w:t xml:space="preserve">and that it is their responsibility to provide sufficient metadata.</w:t>
      </w:r>
    </w:p>
    <w:bookmarkEnd w:id="24"/>
    <w:bookmarkStart w:id="33" w:name="bibliography"/>
    <w:p>
      <w:pPr>
        <w:pStyle w:val="Heading2"/>
      </w:pPr>
      <w:r>
        <w:t xml:space="preserve">Bibliography</w:t>
      </w:r>
    </w:p>
    <w:bookmarkStart w:id="32" w:name="refs"/>
    <w:bookmarkStart w:id="25" w:name="ref-Da_Veiga_Leprevost2017-yw"/>
    <w:p>
      <w:pPr>
        <w:pStyle w:val="Bibliography"/>
      </w:pPr>
      <w:r>
        <w:t xml:space="preserve">1.</w:t>
      </w:r>
      <w:r>
        <w:t xml:space="preserve"> </w:t>
      </w:r>
      <w:r>
        <w:t xml:space="preserve">	</w:t>
      </w:r>
      <w:r>
        <w:t xml:space="preserve">Veiga Leprevost F da, Grüning BA, Alves Aflitos S, Röst HL, Uszkoreit J, Barsnes H, et al.</w:t>
      </w:r>
      <w:r>
        <w:t xml:space="preserve"> </w:t>
      </w:r>
      <w:r>
        <w:t xml:space="preserve">BioContainers</w:t>
      </w:r>
      <w:r>
        <w:t xml:space="preserve">: An open-source and community-driven framework for software standardization. Bioinformatics. 2017;33: 2580–2582.</w:t>
      </w:r>
      <w:r>
        <w:t xml:space="preserve"> </w:t>
      </w:r>
    </w:p>
    <w:bookmarkEnd w:id="25"/>
    <w:bookmarkStart w:id="26" w:name="ref-Wilkinson2016-qq"/>
    <w:p>
      <w:pPr>
        <w:pStyle w:val="Bibliography"/>
      </w:pPr>
      <w:r>
        <w:t xml:space="preserve">2.</w:t>
      </w:r>
      <w:r>
        <w:t xml:space="preserve"> </w:t>
      </w:r>
      <w:r>
        <w:t xml:space="preserve">	</w:t>
      </w:r>
      <w:r>
        <w:t xml:space="preserve">Wilkinson MD, Dumontier M, Aalbersberg IJJ, Appleton G, Axton M, Baak A, et al. The</w:t>
      </w:r>
      <w:r>
        <w:t xml:space="preserve"> </w:t>
      </w:r>
      <w:r>
        <w:t xml:space="preserve">FAIR</w:t>
      </w:r>
      <w:r>
        <w:t xml:space="preserve"> </w:t>
      </w:r>
      <w:r>
        <w:t xml:space="preserve">guiding principles for scientific data management and stewardship. Sci Data. 2016;3: 160018.</w:t>
      </w:r>
      <w:r>
        <w:t xml:space="preserve"> </w:t>
      </w:r>
    </w:p>
    <w:bookmarkEnd w:id="26"/>
    <w:bookmarkStart w:id="27" w:name="ref-Edgar2002-hs"/>
    <w:p>
      <w:pPr>
        <w:pStyle w:val="Bibliography"/>
      </w:pPr>
      <w:r>
        <w:t xml:space="preserve">3.</w:t>
      </w:r>
      <w:r>
        <w:t xml:space="preserve"> </w:t>
      </w:r>
      <w:r>
        <w:t xml:space="preserve">	</w:t>
      </w:r>
      <w:r>
        <w:t xml:space="preserve">Edgar R, Domrachev M, Lash AE. Gene expression omnibus:</w:t>
      </w:r>
      <w:r>
        <w:t xml:space="preserve"> </w:t>
      </w:r>
      <w:r>
        <w:t xml:space="preserve">NCBI</w:t>
      </w:r>
      <w:r>
        <w:t xml:space="preserve"> </w:t>
      </w:r>
      <w:r>
        <w:t xml:space="preserve">gene expression and hybridization array data repository. Nucleic Acids Res. 2002;30: 207–210.</w:t>
      </w:r>
      <w:r>
        <w:t xml:space="preserve"> </w:t>
      </w:r>
    </w:p>
    <w:bookmarkEnd w:id="27"/>
    <w:bookmarkStart w:id="28" w:name="ref-Kodama2012-bn"/>
    <w:p>
      <w:pPr>
        <w:pStyle w:val="Bibliography"/>
      </w:pPr>
      <w:r>
        <w:t xml:space="preserve">4.</w:t>
      </w:r>
      <w:r>
        <w:t xml:space="preserve"> </w:t>
      </w:r>
      <w:r>
        <w:t xml:space="preserve">	</w:t>
      </w:r>
      <w:r>
        <w:t xml:space="preserve">Kodama Y, Shumway M, Leinonen R, International Nucleotide Sequence Database Collaboration. The sequence read archive: Explosive growth of sequencing data. Nucleic Acids Res. 2012;40: D54–6.</w:t>
      </w:r>
      <w:r>
        <w:t xml:space="preserve"> </w:t>
      </w:r>
    </w:p>
    <w:bookmarkEnd w:id="28"/>
    <w:bookmarkStart w:id="29" w:name="ref-Martens2005-wo"/>
    <w:p>
      <w:pPr>
        <w:pStyle w:val="Bibliography"/>
      </w:pPr>
      <w:r>
        <w:t xml:space="preserve">5.</w:t>
      </w:r>
      <w:r>
        <w:t xml:space="preserve"> </w:t>
      </w:r>
      <w:r>
        <w:t xml:space="preserve">	</w:t>
      </w:r>
      <w:r>
        <w:t xml:space="preserve">Martens L, Hermjakob H, Jones P, Adamski M, Taylor C, States D, et al.</w:t>
      </w:r>
      <w:r>
        <w:t xml:space="preserve"> </w:t>
      </w:r>
      <w:r>
        <w:t xml:space="preserve">PRIDE</w:t>
      </w:r>
      <w:r>
        <w:t xml:space="preserve">: The proteomics identifications database. Proteomics. 2005;5: 3537–3545.</w:t>
      </w:r>
      <w:r>
        <w:t xml:space="preserve"> </w:t>
      </w:r>
    </w:p>
    <w:bookmarkEnd w:id="29"/>
    <w:bookmarkStart w:id="30" w:name="ref-Bonaretti2019-zs"/>
    <w:p>
      <w:pPr>
        <w:pStyle w:val="Bibliography"/>
      </w:pPr>
      <w:r>
        <w:t xml:space="preserve">6.</w:t>
      </w:r>
      <w:r>
        <w:t xml:space="preserve"> </w:t>
      </w:r>
      <w:r>
        <w:t xml:space="preserve">	</w:t>
      </w:r>
      <w:r>
        <w:t xml:space="preserve">Bonaretti S, Willighagen E. Two real use cases of</w:t>
      </w:r>
      <w:r>
        <w:t xml:space="preserve"> </w:t>
      </w:r>
      <w:r>
        <w:t xml:space="preserve">FAIR</w:t>
      </w:r>
      <w:r>
        <w:t xml:space="preserve"> </w:t>
      </w:r>
      <w:r>
        <w:t xml:space="preserve">maturity indicators in the life sciences. bioRxiv. 2019.</w:t>
      </w:r>
      <w:r>
        <w:t xml:space="preserve"> </w:t>
      </w:r>
    </w:p>
    <w:bookmarkEnd w:id="30"/>
    <w:bookmarkStart w:id="31" w:name="ref-Hassenruck2021-mi"/>
    <w:p>
      <w:pPr>
        <w:pStyle w:val="Bibliography"/>
      </w:pPr>
      <w:r>
        <w:t xml:space="preserve">7.</w:t>
      </w:r>
      <w:r>
        <w:t xml:space="preserve"> </w:t>
      </w:r>
      <w:r>
        <w:t xml:space="preserve">	</w:t>
      </w:r>
      <w:r>
        <w:t xml:space="preserve">Hassenrück C, Poprick T, Helfer V, Molari M, Meyer R, Kostadinov I.</w:t>
      </w:r>
      <w:r>
        <w:t xml:space="preserve"> </w:t>
      </w:r>
      <w:r>
        <w:t xml:space="preserve">FAIR</w:t>
      </w:r>
      <w:r>
        <w:t xml:space="preserve"> </w:t>
      </w:r>
      <w:r>
        <w:t xml:space="preserve">enough? A perspective on the status of nucleotide sequence data and metadata on public archives. bioRxiv. 2021. p. 2021.09.23.461561.</w:t>
      </w:r>
      <w:r>
        <w:t xml:space="preserve"> 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0">
    <w:nsid w:val="ea454b4c"/>
    <w:multiLevelType w:val="multilevel"/>
    <w:lvl w:ilvl="0">
      <w:start w:val="10"/>
      <w:numFmt w:val="decimal"/>
      <w:lvlText w:val="%1."/>
      <w:lvlJc w:val="left"/>
      <w:pPr>
        <w:ind w:left="720" w:hanging="480"/>
      </w:pPr>
    </w:lvl>
    <w:lvl w:ilvl="1">
      <w:start w:val="10"/>
      <w:numFmt w:val="decimal"/>
      <w:lvlText w:val="%2."/>
      <w:lvlJc w:val="left"/>
      <w:pPr>
        <w:ind w:left="1440" w:hanging="480"/>
      </w:pPr>
    </w:lvl>
    <w:lvl w:ilvl="2">
      <w:start w:val="10"/>
      <w:numFmt w:val="decimal"/>
      <w:lvlText w:val="%3."/>
      <w:lvlJc w:val="left"/>
      <w:pPr>
        <w:ind w:left="2160" w:hanging="480"/>
      </w:pPr>
    </w:lvl>
    <w:lvl w:ilvl="3">
      <w:start w:val="10"/>
      <w:numFmt w:val="decimal"/>
      <w:lvlText w:val="%4."/>
      <w:lvlJc w:val="left"/>
      <w:pPr>
        <w:ind w:left="2880" w:hanging="480"/>
      </w:pPr>
    </w:lvl>
    <w:lvl w:ilvl="4">
      <w:start w:val="10"/>
      <w:numFmt w:val="decimal"/>
      <w:lvlText w:val="%5."/>
      <w:lvlJc w:val="left"/>
      <w:pPr>
        <w:ind w:left="3600" w:hanging="480"/>
      </w:pPr>
    </w:lvl>
    <w:lvl w:ilvl="5">
      <w:start w:val="10"/>
      <w:numFmt w:val="decimal"/>
      <w:lvlText w:val="%6."/>
      <w:lvlJc w:val="left"/>
      <w:pPr>
        <w:ind w:left="4320" w:hanging="480"/>
      </w:pPr>
    </w:lvl>
    <w:lvl w:ilvl="6">
      <w:start w:val="10"/>
      <w:numFmt w:val="decimal"/>
      <w:lvlText w:val="%7."/>
      <w:lvlJc w:val="left"/>
      <w:pPr>
        <w:ind w:left="5040" w:hanging="480"/>
      </w:pPr>
    </w:lvl>
    <w:lvl w:ilvl="7">
      <w:start w:val="10"/>
      <w:numFmt w:val="decimal"/>
      <w:lvlText w:val="%8."/>
      <w:lvlJc w:val="left"/>
      <w:pPr>
        <w:ind w:left="5760" w:hanging="480"/>
      </w:pPr>
    </w:lvl>
    <w:lvl w:ilvl="8">
      <w:start w:val="10"/>
      <w:numFmt w:val="decimal"/>
      <w:lvlText w:val="%9."/>
      <w:lvlJc w:val="left"/>
      <w:pPr>
        <w:ind w:left="6480" w:hanging="480"/>
      </w:pPr>
    </w:lvl>
  </w:abstractNum>
  <w:abstractNum w:abstractNumId="994117">
    <w:nsid w:val="71315dca"/>
    <w:multiLevelType w:val="multilevel"/>
    <w:lvl w:ilvl="0">
      <w:start w:val="17"/>
      <w:numFmt w:val="decimal"/>
      <w:lvlText w:val="%1."/>
      <w:lvlJc w:val="left"/>
      <w:pPr>
        <w:ind w:left="720" w:hanging="480"/>
      </w:pPr>
    </w:lvl>
    <w:lvl w:ilvl="1">
      <w:start w:val="17"/>
      <w:numFmt w:val="decimal"/>
      <w:lvlText w:val="%2."/>
      <w:lvlJc w:val="left"/>
      <w:pPr>
        <w:ind w:left="1440" w:hanging="480"/>
      </w:pPr>
    </w:lvl>
    <w:lvl w:ilvl="2">
      <w:start w:val="17"/>
      <w:numFmt w:val="decimal"/>
      <w:lvlText w:val="%3."/>
      <w:lvlJc w:val="left"/>
      <w:pPr>
        <w:ind w:left="2160" w:hanging="480"/>
      </w:pPr>
    </w:lvl>
    <w:lvl w:ilvl="3">
      <w:start w:val="17"/>
      <w:numFmt w:val="decimal"/>
      <w:lvlText w:val="%4."/>
      <w:lvlJc w:val="left"/>
      <w:pPr>
        <w:ind w:left="2880" w:hanging="480"/>
      </w:pPr>
    </w:lvl>
    <w:lvl w:ilvl="4">
      <w:start w:val="17"/>
      <w:numFmt w:val="decimal"/>
      <w:lvlText w:val="%5."/>
      <w:lvlJc w:val="left"/>
      <w:pPr>
        <w:ind w:left="3600" w:hanging="480"/>
      </w:pPr>
    </w:lvl>
    <w:lvl w:ilvl="5">
      <w:start w:val="17"/>
      <w:numFmt w:val="decimal"/>
      <w:lvlText w:val="%6."/>
      <w:lvlJc w:val="left"/>
      <w:pPr>
        <w:ind w:left="4320" w:hanging="480"/>
      </w:pPr>
    </w:lvl>
    <w:lvl w:ilvl="6">
      <w:start w:val="17"/>
      <w:numFmt w:val="decimal"/>
      <w:lvlText w:val="%7."/>
      <w:lvlJc w:val="left"/>
      <w:pPr>
        <w:ind w:left="5040" w:hanging="480"/>
      </w:pPr>
    </w:lvl>
    <w:lvl w:ilvl="7">
      <w:start w:val="17"/>
      <w:numFmt w:val="decimal"/>
      <w:lvlText w:val="%8."/>
      <w:lvlJc w:val="left"/>
      <w:pPr>
        <w:ind w:left="5760" w:hanging="480"/>
      </w:pPr>
    </w:lvl>
    <w:lvl w:ilvl="8">
      <w:start w:val="17"/>
      <w:numFmt w:val="decimal"/>
      <w:lvlText w:val="%9."/>
      <w:lvlJc w:val="left"/>
      <w:pPr>
        <w:ind w:left="6480" w:hanging="480"/>
      </w:pPr>
    </w:lvl>
  </w:abstractNum>
  <w:abstractNum w:abstractNumId="994120">
    <w:nsid w:val="47261bad"/>
    <w:multiLevelType w:val="multilevel"/>
    <w:lvl w:ilvl="0">
      <w:start w:val="20"/>
      <w:numFmt w:val="decimal"/>
      <w:lvlText w:val="%1."/>
      <w:lvlJc w:val="left"/>
      <w:pPr>
        <w:ind w:left="720" w:hanging="480"/>
      </w:pPr>
    </w:lvl>
    <w:lvl w:ilvl="1">
      <w:start w:val="20"/>
      <w:numFmt w:val="decimal"/>
      <w:lvlText w:val="%2."/>
      <w:lvlJc w:val="left"/>
      <w:pPr>
        <w:ind w:left="1440" w:hanging="480"/>
      </w:pPr>
    </w:lvl>
    <w:lvl w:ilvl="2">
      <w:start w:val="20"/>
      <w:numFmt w:val="decimal"/>
      <w:lvlText w:val="%3."/>
      <w:lvlJc w:val="left"/>
      <w:pPr>
        <w:ind w:left="2160" w:hanging="480"/>
      </w:pPr>
    </w:lvl>
    <w:lvl w:ilvl="3">
      <w:start w:val="20"/>
      <w:numFmt w:val="decimal"/>
      <w:lvlText w:val="%4."/>
      <w:lvlJc w:val="left"/>
      <w:pPr>
        <w:ind w:left="2880" w:hanging="480"/>
      </w:pPr>
    </w:lvl>
    <w:lvl w:ilvl="4">
      <w:start w:val="20"/>
      <w:numFmt w:val="decimal"/>
      <w:lvlText w:val="%5."/>
      <w:lvlJc w:val="left"/>
      <w:pPr>
        <w:ind w:left="3600" w:hanging="480"/>
      </w:pPr>
    </w:lvl>
    <w:lvl w:ilvl="5">
      <w:start w:val="20"/>
      <w:numFmt w:val="decimal"/>
      <w:lvlText w:val="%6."/>
      <w:lvlJc w:val="left"/>
      <w:pPr>
        <w:ind w:left="4320" w:hanging="480"/>
      </w:pPr>
    </w:lvl>
    <w:lvl w:ilvl="6">
      <w:start w:val="20"/>
      <w:numFmt w:val="decimal"/>
      <w:lvlText w:val="%7."/>
      <w:lvlJc w:val="left"/>
      <w:pPr>
        <w:ind w:left="5040" w:hanging="480"/>
      </w:pPr>
    </w:lvl>
    <w:lvl w:ilvl="7">
      <w:start w:val="20"/>
      <w:numFmt w:val="decimal"/>
      <w:lvlText w:val="%8."/>
      <w:lvlJc w:val="left"/>
      <w:pPr>
        <w:ind w:left="5760" w:hanging="480"/>
      </w:pPr>
    </w:lvl>
    <w:lvl w:ilvl="8">
      <w:start w:val="20"/>
      <w:numFmt w:val="decimal"/>
      <w:lvlText w:val="%9."/>
      <w:lvlJc w:val="left"/>
      <w:pPr>
        <w:ind w:left="6480" w:hanging="480"/>
      </w:pPr>
    </w:lvl>
  </w:abstractNum>
  <w:abstractNum w:abstractNumId="994121">
    <w:nsid w:val="b3cbbdee"/>
    <w:multiLevelType w:val="multilevel"/>
    <w:lvl w:ilvl="0">
      <w:start w:val="21"/>
      <w:numFmt w:val="decimal"/>
      <w:lvlText w:val="%1."/>
      <w:lvlJc w:val="left"/>
      <w:pPr>
        <w:ind w:left="720" w:hanging="480"/>
      </w:pPr>
    </w:lvl>
    <w:lvl w:ilvl="1">
      <w:start w:val="21"/>
      <w:numFmt w:val="decimal"/>
      <w:lvlText w:val="%2."/>
      <w:lvlJc w:val="left"/>
      <w:pPr>
        <w:ind w:left="1440" w:hanging="480"/>
      </w:pPr>
    </w:lvl>
    <w:lvl w:ilvl="2">
      <w:start w:val="21"/>
      <w:numFmt w:val="decimal"/>
      <w:lvlText w:val="%3."/>
      <w:lvlJc w:val="left"/>
      <w:pPr>
        <w:ind w:left="2160" w:hanging="480"/>
      </w:pPr>
    </w:lvl>
    <w:lvl w:ilvl="3">
      <w:start w:val="21"/>
      <w:numFmt w:val="decimal"/>
      <w:lvlText w:val="%4."/>
      <w:lvlJc w:val="left"/>
      <w:pPr>
        <w:ind w:left="2880" w:hanging="480"/>
      </w:pPr>
    </w:lvl>
    <w:lvl w:ilvl="4">
      <w:start w:val="21"/>
      <w:numFmt w:val="decimal"/>
      <w:lvlText w:val="%5."/>
      <w:lvlJc w:val="left"/>
      <w:pPr>
        <w:ind w:left="3600" w:hanging="480"/>
      </w:pPr>
    </w:lvl>
    <w:lvl w:ilvl="5">
      <w:start w:val="21"/>
      <w:numFmt w:val="decimal"/>
      <w:lvlText w:val="%6."/>
      <w:lvlJc w:val="left"/>
      <w:pPr>
        <w:ind w:left="4320" w:hanging="480"/>
      </w:pPr>
    </w:lvl>
    <w:lvl w:ilvl="6">
      <w:start w:val="21"/>
      <w:numFmt w:val="decimal"/>
      <w:lvlText w:val="%7."/>
      <w:lvlJc w:val="left"/>
      <w:pPr>
        <w:ind w:left="5040" w:hanging="480"/>
      </w:pPr>
    </w:lvl>
    <w:lvl w:ilvl="7">
      <w:start w:val="21"/>
      <w:numFmt w:val="decimal"/>
      <w:lvlText w:val="%8."/>
      <w:lvlJc w:val="left"/>
      <w:pPr>
        <w:ind w:left="5760" w:hanging="480"/>
      </w:pPr>
    </w:lvl>
    <w:lvl w:ilvl="8">
      <w:start w:val="2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03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04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reviewer comments, part II (The five pillars)</dc:title>
  <dc:creator>Mark Ziemann, Pierre Poulain, Anusuiya Bora</dc:creator>
  <cp:keywords/>
  <dcterms:created xsi:type="dcterms:W3CDTF">2023-09-27T00:14:06Z</dcterms:created>
  <dcterms:modified xsi:type="dcterms:W3CDTF">2023-09-27T00:14:06Z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5pillars.bib</vt:lpwstr>
  </property>
  <property fmtid="{D5CDD505-2E9C-101B-9397-08002B2CF9AE}" pid="3" name="code_folding">
    <vt:lpwstr>hide</vt:lpwstr>
  </property>
  <property fmtid="{D5CDD505-2E9C-101B-9397-08002B2CF9AE}" pid="4" name="csl">
    <vt:lpwstr>plos-computational-biology.csl</vt:lpwstr>
  </property>
  <property fmtid="{D5CDD505-2E9C-101B-9397-08002B2CF9AE}" pid="5" name="date">
    <vt:lpwstr>2023-09-27</vt:lpwstr>
  </property>
  <property fmtid="{D5CDD505-2E9C-101B-9397-08002B2CF9AE}" pid="6" name="fig_height">
    <vt:lpwstr>6</vt:lpwstr>
  </property>
  <property fmtid="{D5CDD505-2E9C-101B-9397-08002B2CF9AE}" pid="7" name="fig_width">
    <vt:lpwstr>7</vt:lpwstr>
  </property>
  <property fmtid="{D5CDD505-2E9C-101B-9397-08002B2CF9AE}" pid="8" name="output">
    <vt:lpwstr>word_document</vt:lpwstr>
  </property>
</Properties>
</file>